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1B" w:rsidRDefault="00EE1E1B" w:rsidP="00EE4185">
      <w:r>
        <w:rPr>
          <w:color w:val="222233"/>
          <w:sz w:val="18"/>
          <w:szCs w:val="18"/>
        </w:rPr>
        <w:br/>
      </w:r>
    </w:p>
    <w:p w:rsidR="00EE1E1B" w:rsidRPr="001A35CC" w:rsidRDefault="00EE1E1B" w:rsidP="001A35CC">
      <w:pPr>
        <w:jc w:val="center"/>
        <w:rPr>
          <w:i/>
          <w:sz w:val="28"/>
          <w:szCs w:val="28"/>
        </w:rPr>
      </w:pPr>
      <w:r w:rsidRPr="001A35CC">
        <w:rPr>
          <w:i/>
          <w:sz w:val="28"/>
          <w:szCs w:val="28"/>
        </w:rPr>
        <w:t>RAPPORT</w:t>
      </w:r>
      <w:r>
        <w:rPr>
          <w:i/>
          <w:sz w:val="28"/>
          <w:szCs w:val="28"/>
        </w:rPr>
        <w:t xml:space="preserve"> </w:t>
      </w:r>
    </w:p>
    <w:p w:rsidR="00EE1E1B" w:rsidRDefault="00EE1E1B" w:rsidP="00EE4185"/>
    <w:p w:rsidR="00EE1E1B" w:rsidRDefault="00EE1E1B" w:rsidP="00EE4185">
      <w:pPr>
        <w:rPr>
          <w:b/>
        </w:rPr>
      </w:pPr>
    </w:p>
    <w:p w:rsidR="00EE1E1B" w:rsidRDefault="00EE1E1B" w:rsidP="00EE4185">
      <w:pPr>
        <w:rPr>
          <w:b/>
        </w:rPr>
      </w:pPr>
      <w:r>
        <w:rPr>
          <w:b/>
        </w:rPr>
        <w:t xml:space="preserve">Wat is het verzoek? </w:t>
      </w:r>
    </w:p>
    <w:p w:rsidR="00EE1E1B" w:rsidRDefault="00EE1E1B" w:rsidP="00DE5AA7">
      <w:r>
        <w:t xml:space="preserve">Verzoekster vroeg de Ombudscommissie haar klacht over het niet kwijtschelden van gemeentelijke belastingen en waterschapslasten te onderzoeken. Verzoekster is het niet eens met de afwijzing van haar kwijtschelding en </w:t>
      </w:r>
      <w:r w:rsidRPr="006F0E45">
        <w:t>administratief</w:t>
      </w:r>
      <w:r>
        <w:t xml:space="preserve"> beroep door de gemeente. </w:t>
      </w:r>
    </w:p>
    <w:p w:rsidR="00EE1E1B" w:rsidRDefault="00EE1E1B" w:rsidP="00DE5AA7"/>
    <w:p w:rsidR="00EE1E1B" w:rsidRPr="009A3DC5" w:rsidRDefault="00EE1E1B" w:rsidP="00EE4185">
      <w:pPr>
        <w:rPr>
          <w:rFonts w:cs="Arial"/>
          <w:b/>
        </w:rPr>
      </w:pPr>
      <w:r w:rsidRPr="009A3DC5">
        <w:rPr>
          <w:rFonts w:cs="Arial"/>
          <w:b/>
        </w:rPr>
        <w:t>Wat is ons oordeel?</w:t>
      </w:r>
    </w:p>
    <w:p w:rsidR="00EE1E1B" w:rsidRDefault="00EE1E1B" w:rsidP="00EE4185">
      <w:pPr>
        <w:rPr>
          <w:rFonts w:cs="Arial"/>
        </w:rPr>
      </w:pPr>
      <w:r w:rsidRPr="006F0E45">
        <w:rPr>
          <w:rFonts w:cs="Arial"/>
        </w:rPr>
        <w:t>Op grond van</w:t>
      </w:r>
      <w:r w:rsidRPr="00366164">
        <w:rPr>
          <w:rFonts w:cs="Arial"/>
        </w:rPr>
        <w:t xml:space="preserve"> de wet komt verzoekster voor 2013 niet in aanmerking voor </w:t>
      </w:r>
      <w:r w:rsidRPr="006F0E45">
        <w:rPr>
          <w:rFonts w:cs="Arial"/>
        </w:rPr>
        <w:t>kwijtschelding</w:t>
      </w:r>
      <w:r w:rsidRPr="00366164">
        <w:rPr>
          <w:rFonts w:cs="Arial"/>
        </w:rPr>
        <w:t xml:space="preserve">. Haar </w:t>
      </w:r>
      <w:r w:rsidRPr="006F0E45">
        <w:rPr>
          <w:rFonts w:cs="Arial"/>
        </w:rPr>
        <w:t>vermogen</w:t>
      </w:r>
      <w:r w:rsidRPr="00366164">
        <w:rPr>
          <w:rFonts w:cs="Arial"/>
        </w:rPr>
        <w:t xml:space="preserve"> ligt boven de kwijtscheldingsnorm. </w:t>
      </w:r>
      <w:r>
        <w:rPr>
          <w:rFonts w:cs="Arial"/>
        </w:rPr>
        <w:t xml:space="preserve">De gemeente heeft de regels goed toegepast bij de afwijzing van het verzoek om </w:t>
      </w:r>
      <w:r w:rsidRPr="006F0E45">
        <w:rPr>
          <w:rFonts w:cs="Arial"/>
        </w:rPr>
        <w:t>kwijtschelding</w:t>
      </w:r>
      <w:r>
        <w:rPr>
          <w:rFonts w:cs="Arial"/>
        </w:rPr>
        <w:t xml:space="preserve"> en de afwijzing van het </w:t>
      </w:r>
      <w:r w:rsidRPr="006F0E45">
        <w:rPr>
          <w:rFonts w:cs="Arial"/>
        </w:rPr>
        <w:t>administratief</w:t>
      </w:r>
      <w:r>
        <w:rPr>
          <w:rFonts w:cs="Arial"/>
        </w:rPr>
        <w:t xml:space="preserve"> beroep. Er is geen sprake van een onbehoorlijke gedraging van de gemeente. </w:t>
      </w:r>
    </w:p>
    <w:p w:rsidR="00EE1E1B" w:rsidRDefault="00EE1E1B" w:rsidP="00EE4185">
      <w:pPr>
        <w:rPr>
          <w:rFonts w:cs="Arial"/>
        </w:rPr>
      </w:pPr>
    </w:p>
    <w:p w:rsidR="00EE1E1B" w:rsidRDefault="00EE1E1B" w:rsidP="00EE4185">
      <w:pPr>
        <w:rPr>
          <w:rFonts w:cs="Arial"/>
        </w:rPr>
      </w:pPr>
      <w:r>
        <w:rPr>
          <w:rFonts w:cs="Arial"/>
        </w:rPr>
        <w:t xml:space="preserve">De commissie vindt wel dat de gemeente verzoekster beter en eerder had moeten informeren over de manier waarop haar verzoek om </w:t>
      </w:r>
      <w:r w:rsidRPr="006F0E45">
        <w:rPr>
          <w:rFonts w:cs="Arial"/>
        </w:rPr>
        <w:t>kwijtschelding</w:t>
      </w:r>
      <w:r>
        <w:rPr>
          <w:rFonts w:cs="Arial"/>
        </w:rPr>
        <w:t xml:space="preserve"> </w:t>
      </w:r>
      <w:r w:rsidRPr="006F0E45">
        <w:rPr>
          <w:rFonts w:cs="Arial"/>
        </w:rPr>
        <w:t>beoordeeld was</w:t>
      </w:r>
      <w:r>
        <w:rPr>
          <w:rFonts w:cs="Arial"/>
        </w:rPr>
        <w:t xml:space="preserve">. Dit heeft de gemeente alsnog gedaan na de hoorzitting. </w:t>
      </w:r>
    </w:p>
    <w:p w:rsidR="00EE1E1B" w:rsidRDefault="00EE1E1B" w:rsidP="00EE4185">
      <w:pPr>
        <w:rPr>
          <w:rFonts w:cs="Arial"/>
          <w:u w:val="thick" w:color="FF00FF"/>
        </w:rPr>
      </w:pPr>
    </w:p>
    <w:p w:rsidR="00EE1E1B" w:rsidRPr="008D6675" w:rsidRDefault="00EE1E1B" w:rsidP="00EE4185">
      <w:pPr>
        <w:rPr>
          <w:rFonts w:cs="Arial"/>
        </w:rPr>
      </w:pPr>
      <w:r w:rsidRPr="00366164">
        <w:rPr>
          <w:rFonts w:cs="Arial"/>
        </w:rPr>
        <w:t>De c</w:t>
      </w:r>
      <w:r w:rsidRPr="008D6675">
        <w:rPr>
          <w:rFonts w:cs="Arial"/>
        </w:rPr>
        <w:t xml:space="preserve">ommissie vindt </w:t>
      </w:r>
      <w:r>
        <w:rPr>
          <w:rFonts w:cs="Arial"/>
        </w:rPr>
        <w:t xml:space="preserve">verder </w:t>
      </w:r>
      <w:r w:rsidRPr="008D6675">
        <w:rPr>
          <w:rFonts w:cs="Arial"/>
        </w:rPr>
        <w:t xml:space="preserve">de term “geautomatiseerde </w:t>
      </w:r>
      <w:r w:rsidRPr="006F0E45">
        <w:rPr>
          <w:rFonts w:cs="Arial"/>
        </w:rPr>
        <w:t>kwijtschelding</w:t>
      </w:r>
      <w:r w:rsidRPr="008D6675">
        <w:rPr>
          <w:rFonts w:cs="Arial"/>
        </w:rPr>
        <w:t xml:space="preserve">” in de brieven van de gemeente verwarrend. De commissie vraagt de gemeente de tekst in de brieven over “geautomatiseerde” en automatische </w:t>
      </w:r>
      <w:r w:rsidRPr="006F0E45">
        <w:rPr>
          <w:rFonts w:cs="Arial"/>
        </w:rPr>
        <w:t>kwijtschelding</w:t>
      </w:r>
      <w:r w:rsidRPr="008D6675">
        <w:rPr>
          <w:rFonts w:cs="Arial"/>
        </w:rPr>
        <w:t xml:space="preserve"> nog eens te bekijken. </w:t>
      </w:r>
    </w:p>
    <w:p w:rsidR="00EE1E1B" w:rsidRDefault="00EE1E1B" w:rsidP="00EE4185">
      <w:pPr>
        <w:rPr>
          <w:rFonts w:cs="Arial"/>
        </w:rPr>
      </w:pPr>
    </w:p>
    <w:p w:rsidR="00EE1E1B" w:rsidRDefault="00EE1E1B" w:rsidP="00EE4185">
      <w:pPr>
        <w:rPr>
          <w:rFonts w:cs="Arial"/>
        </w:rPr>
      </w:pPr>
      <w:r>
        <w:rPr>
          <w:rFonts w:cs="Arial"/>
        </w:rPr>
        <w:t xml:space="preserve">Over hoe wij tot dit oordeel gekomen zijn, leest u hieronder meer. </w:t>
      </w:r>
    </w:p>
    <w:p w:rsidR="00EE1E1B" w:rsidRDefault="00EE1E1B" w:rsidP="00727BD6">
      <w:pPr>
        <w:rPr>
          <w:b/>
        </w:rPr>
      </w:pPr>
    </w:p>
    <w:p w:rsidR="00EE1E1B" w:rsidRPr="0080335A" w:rsidRDefault="00EE1E1B" w:rsidP="00727BD6">
      <w:pPr>
        <w:rPr>
          <w:b/>
        </w:rPr>
      </w:pPr>
      <w:r w:rsidRPr="0080335A">
        <w:rPr>
          <w:b/>
        </w:rPr>
        <w:t xml:space="preserve">Hoe </w:t>
      </w:r>
      <w:r>
        <w:rPr>
          <w:b/>
        </w:rPr>
        <w:t>beoordeelden wij</w:t>
      </w:r>
      <w:r w:rsidRPr="0080335A">
        <w:rPr>
          <w:b/>
        </w:rPr>
        <w:t xml:space="preserve"> het verzoek? </w:t>
      </w:r>
    </w:p>
    <w:p w:rsidR="00EE1E1B" w:rsidRDefault="00EE1E1B" w:rsidP="00727BD6">
      <w:pPr>
        <w:rPr>
          <w:rFonts w:cs="Arial"/>
        </w:rPr>
      </w:pPr>
      <w:r w:rsidRPr="00B17724">
        <w:t xml:space="preserve">De Ombudscommissie </w:t>
      </w:r>
      <w:r>
        <w:t>onderzocht</w:t>
      </w:r>
      <w:r w:rsidRPr="00B17724">
        <w:t xml:space="preserve"> of de gemeente op een behoorlijke manier is omgegaan met verzoekster. Zowel bij de afhandeling van de klachten </w:t>
      </w:r>
      <w:r>
        <w:t>als bij</w:t>
      </w:r>
      <w:r w:rsidRPr="00B17724">
        <w:t xml:space="preserve"> het </w:t>
      </w:r>
      <w:r w:rsidRPr="006F0E45">
        <w:t>administratief</w:t>
      </w:r>
      <w:r w:rsidRPr="00B17724">
        <w:t xml:space="preserve"> beroep.</w:t>
      </w:r>
      <w:r>
        <w:t xml:space="preserve"> Daarbij toetste de commissie het verzoek aan de </w:t>
      </w:r>
      <w:r>
        <w:rPr>
          <w:rFonts w:cs="Arial"/>
        </w:rPr>
        <w:t xml:space="preserve">behoorlijkheidsnormen uit de Behoorlijkheidswijzer van de Nationale Ombudsman. </w:t>
      </w:r>
    </w:p>
    <w:p w:rsidR="00EE1E1B" w:rsidRDefault="00EE1E1B" w:rsidP="00727BD6">
      <w:pPr>
        <w:rPr>
          <w:rFonts w:cs="Arial"/>
        </w:rPr>
      </w:pPr>
    </w:p>
    <w:p w:rsidR="00EE1E1B" w:rsidRPr="0015063E" w:rsidRDefault="00EE1E1B" w:rsidP="00EE4185">
      <w:pPr>
        <w:rPr>
          <w:b/>
        </w:rPr>
      </w:pPr>
      <w:r>
        <w:rPr>
          <w:b/>
        </w:rPr>
        <w:t xml:space="preserve">Hoe was de </w:t>
      </w:r>
      <w:r w:rsidRPr="006F0E45">
        <w:rPr>
          <w:b/>
        </w:rPr>
        <w:t>procedure</w:t>
      </w:r>
      <w:r>
        <w:rPr>
          <w:b/>
        </w:rPr>
        <w:t xml:space="preserve">? </w:t>
      </w:r>
    </w:p>
    <w:p w:rsidR="00EE1E1B" w:rsidRDefault="00EE1E1B" w:rsidP="00F33BE9">
      <w:r>
        <w:t xml:space="preserve">De Ombudscommissie nodigde partijen uit voor een hoorzitting op 17 juni 2013. Partijen waren hierbij aanwezig en vertelden ieder hun kant van het verhaal. Ook stelde de commissie vragen aan partijen. </w:t>
      </w:r>
    </w:p>
    <w:p w:rsidR="00EE1E1B" w:rsidRDefault="00EE1E1B" w:rsidP="00F33BE9">
      <w:r>
        <w:t xml:space="preserve">Na de hoorzitting stelde de commissie een verslag van bevindingen op. Hiermee beëindigde de commissie haar </w:t>
      </w:r>
      <w:r w:rsidRPr="006F0E45">
        <w:t>feitenonderzoek</w:t>
      </w:r>
      <w:r w:rsidRPr="00B17724">
        <w:t>. Parti</w:t>
      </w:r>
      <w:r>
        <w:t xml:space="preserve">jen </w:t>
      </w:r>
      <w:r w:rsidRPr="006F0E45">
        <w:t>konden</w:t>
      </w:r>
      <w:r w:rsidRPr="00B17724">
        <w:t xml:space="preserve"> op dit verslag reageren. </w:t>
      </w:r>
      <w:r>
        <w:t>De gemeente maakte van deze mogelijkheid gebruik</w:t>
      </w:r>
      <w:r w:rsidRPr="00532896">
        <w:t>. De c</w:t>
      </w:r>
      <w:r>
        <w:t xml:space="preserve">ommissie betrok deze reactie </w:t>
      </w:r>
      <w:r w:rsidRPr="00532896">
        <w:t xml:space="preserve">in haar </w:t>
      </w:r>
      <w:r w:rsidRPr="00C518C2">
        <w:t>r</w:t>
      </w:r>
      <w:r>
        <w:t xml:space="preserve">apport. </w:t>
      </w:r>
    </w:p>
    <w:p w:rsidR="00EE1E1B" w:rsidRDefault="00EE1E1B" w:rsidP="00EE4185"/>
    <w:p w:rsidR="00EE1E1B" w:rsidRDefault="00EE1E1B" w:rsidP="00EE4185">
      <w:r w:rsidRPr="00832A7B">
        <w:t xml:space="preserve">Na de hoorzitting </w:t>
      </w:r>
      <w:r>
        <w:t>informeerde</w:t>
      </w:r>
      <w:r w:rsidRPr="00832A7B">
        <w:t xml:space="preserve"> de gemeente de Ombudscommissie over de </w:t>
      </w:r>
      <w:r>
        <w:t>geldende kwijtscheldingsnorm vo</w:t>
      </w:r>
      <w:r w:rsidRPr="00832A7B">
        <w:t>or verzoekster</w:t>
      </w:r>
      <w:r>
        <w:t xml:space="preserve">. De gemeente gaf ook verzoekster daarover uitleg. Deze </w:t>
      </w:r>
      <w:r w:rsidRPr="007A1390">
        <w:t>v</w:t>
      </w:r>
      <w:r>
        <w:t>erdere</w:t>
      </w:r>
      <w:r w:rsidRPr="007A1390">
        <w:t xml:space="preserve"> info</w:t>
      </w:r>
      <w:r>
        <w:t xml:space="preserve">rmatie betrok de Ombudscommissie </w:t>
      </w:r>
      <w:r w:rsidRPr="00C518C2">
        <w:t>in dit r</w:t>
      </w:r>
      <w:r>
        <w:t xml:space="preserve">apport. </w:t>
      </w:r>
    </w:p>
    <w:p w:rsidR="00EE1E1B" w:rsidRDefault="00EE1E1B" w:rsidP="00EE4185"/>
    <w:p w:rsidR="00EE1E1B" w:rsidRDefault="00EE1E1B" w:rsidP="00EE4185">
      <w:pPr>
        <w:rPr>
          <w:b/>
        </w:rPr>
      </w:pPr>
      <w:r>
        <w:rPr>
          <w:b/>
        </w:rPr>
        <w:t xml:space="preserve">Wat zijn onze overwegingen? </w:t>
      </w:r>
    </w:p>
    <w:p w:rsidR="00EE1E1B" w:rsidRDefault="00EE1E1B" w:rsidP="00EE4185">
      <w:r>
        <w:t xml:space="preserve">Hieronder treft u onze overwegingen aan die geleid hebben tot ons oordeel. </w:t>
      </w:r>
    </w:p>
    <w:p w:rsidR="00EE1E1B" w:rsidRDefault="00EE1E1B" w:rsidP="00EE4185"/>
    <w:p w:rsidR="00EE1E1B" w:rsidRPr="00AD4F8A" w:rsidRDefault="00EE1E1B" w:rsidP="00EE4185">
      <w:pPr>
        <w:rPr>
          <w:u w:val="single"/>
        </w:rPr>
      </w:pPr>
      <w:r w:rsidRPr="00AD4F8A">
        <w:rPr>
          <w:u w:val="single"/>
        </w:rPr>
        <w:t xml:space="preserve">Wanneer heeft iemand recht op </w:t>
      </w:r>
      <w:r w:rsidRPr="00F17197">
        <w:rPr>
          <w:u w:val="single"/>
        </w:rPr>
        <w:t>kwijtschelding</w:t>
      </w:r>
      <w:r w:rsidRPr="00AD4F8A">
        <w:rPr>
          <w:u w:val="single"/>
        </w:rPr>
        <w:t>?</w:t>
      </w:r>
    </w:p>
    <w:p w:rsidR="00EE1E1B" w:rsidRDefault="00EE1E1B" w:rsidP="00EE4185">
      <w:r>
        <w:t xml:space="preserve">Iedere </w:t>
      </w:r>
      <w:r w:rsidRPr="006F0E45">
        <w:t>belastingplichtige</w:t>
      </w:r>
      <w:r>
        <w:t xml:space="preserve"> burger van de gemeente ontvangt elk jaar een aanslag gemeentelijke belastingen en waterschapslasten. Mensen met een laag inkomen en weinig </w:t>
      </w:r>
      <w:r w:rsidRPr="00C518C2">
        <w:t>(</w:t>
      </w:r>
      <w:r>
        <w:t>spaar)geld en bezittingen</w:t>
      </w:r>
      <w:r w:rsidRPr="00C518C2">
        <w:t xml:space="preserve"> </w:t>
      </w:r>
      <w:r w:rsidRPr="006F0E45">
        <w:t>kunnen</w:t>
      </w:r>
      <w:r>
        <w:t xml:space="preserve"> </w:t>
      </w:r>
      <w:r w:rsidRPr="006F0E45">
        <w:t>kwijtschelding</w:t>
      </w:r>
      <w:r>
        <w:t xml:space="preserve"> van gemeenschappelijke belastingen en waterschapslasten krijgen. In dat geval hoeft men de aanslag gemeentelijke belastingen niet of niet helemaal te betalen. </w:t>
      </w:r>
    </w:p>
    <w:p w:rsidR="00EE1E1B" w:rsidRDefault="00EE1E1B" w:rsidP="00EE4185">
      <w:r>
        <w:t xml:space="preserve">Of iemand in aanmerking komt voor </w:t>
      </w:r>
      <w:r w:rsidRPr="006F0E45">
        <w:t>kwijtschelding</w:t>
      </w:r>
      <w:r>
        <w:t>, hangt af van de persoonlijke en financiële omstandigheden  zoals inkomen, (spaar)geld, bezittingen en woonlasten.</w:t>
      </w:r>
      <w:r w:rsidRPr="0062293E">
        <w:t xml:space="preserve"> </w:t>
      </w:r>
    </w:p>
    <w:p w:rsidR="00EE1E1B" w:rsidRDefault="00EE1E1B" w:rsidP="00EE4185">
      <w:r w:rsidRPr="0062293E">
        <w:lastRenderedPageBreak/>
        <w:t>Een verzoek o</w:t>
      </w:r>
      <w:r>
        <w:t xml:space="preserve">m </w:t>
      </w:r>
      <w:r w:rsidRPr="006F0E45">
        <w:t>kwijtschelding</w:t>
      </w:r>
      <w:r>
        <w:t xml:space="preserve"> moet de gemeente beoordelen aan de hand van de Uitvoeringsregeling Invorderingswet 1990. </w:t>
      </w:r>
      <w:r w:rsidRPr="007B1ED2">
        <w:t>A</w:t>
      </w:r>
      <w:r>
        <w:t>ls</w:t>
      </w:r>
      <w:r w:rsidRPr="007B1ED2">
        <w:t xml:space="preserve"> er z</w:t>
      </w:r>
      <w:r>
        <w:t>owel onvoldoende ink</w:t>
      </w:r>
      <w:r w:rsidRPr="007B1ED2">
        <w:t>omen als</w:t>
      </w:r>
      <w:r>
        <w:t xml:space="preserve"> </w:t>
      </w:r>
      <w:r w:rsidRPr="006F0E45">
        <w:t>vermogen</w:t>
      </w:r>
      <w:r>
        <w:t xml:space="preserve"> is, </w:t>
      </w:r>
      <w:r w:rsidRPr="006F0E45">
        <w:t>verleent</w:t>
      </w:r>
      <w:r w:rsidRPr="007B1ED2">
        <w:t xml:space="preserve"> de gemeente </w:t>
      </w:r>
      <w:r>
        <w:t>(ge</w:t>
      </w:r>
      <w:r w:rsidRPr="007B1ED2">
        <w:t>deelt</w:t>
      </w:r>
      <w:r w:rsidRPr="0062293E">
        <w:t xml:space="preserve">elijke) </w:t>
      </w:r>
      <w:r w:rsidRPr="006F0E45">
        <w:t>kwijtschelding</w:t>
      </w:r>
      <w:r>
        <w:t xml:space="preserve">. In andere gevallen wordt ervan uitgegaan dat de </w:t>
      </w:r>
      <w:r w:rsidRPr="006F0E45">
        <w:t>betreffende</w:t>
      </w:r>
      <w:r>
        <w:t xml:space="preserve"> belastingplichtige d</w:t>
      </w:r>
      <w:r w:rsidRPr="007B1ED2">
        <w:t>e a</w:t>
      </w:r>
      <w:r>
        <w:t xml:space="preserve">anslag </w:t>
      </w:r>
      <w:r w:rsidRPr="006F0E45">
        <w:t>kan</w:t>
      </w:r>
      <w:r>
        <w:t xml:space="preserve"> betalen</w:t>
      </w:r>
      <w:r w:rsidRPr="007B1ED2">
        <w:t xml:space="preserve">. </w:t>
      </w:r>
    </w:p>
    <w:p w:rsidR="00EE1E1B" w:rsidRDefault="00EE1E1B" w:rsidP="00EE4185"/>
    <w:p w:rsidR="00EE1E1B" w:rsidRPr="007872CF" w:rsidRDefault="00EE1E1B" w:rsidP="00EE4185">
      <w:pPr>
        <w:rPr>
          <w:u w:val="single"/>
        </w:rPr>
      </w:pPr>
      <w:r w:rsidRPr="007872CF">
        <w:rPr>
          <w:u w:val="single"/>
        </w:rPr>
        <w:t>Wat is automatische vrijstelling?</w:t>
      </w:r>
    </w:p>
    <w:p w:rsidR="00EE1E1B" w:rsidRDefault="00EE1E1B" w:rsidP="00EE4185">
      <w:r w:rsidRPr="00D71EBC">
        <w:t xml:space="preserve">Als iemand </w:t>
      </w:r>
      <w:r>
        <w:t>voorgaande jaren</w:t>
      </w:r>
      <w:r w:rsidRPr="00D71EBC">
        <w:t xml:space="preserve"> </w:t>
      </w:r>
      <w:r w:rsidRPr="006F0E45">
        <w:t>kwijtschelding</w:t>
      </w:r>
      <w:r w:rsidRPr="00D71EBC">
        <w:t xml:space="preserve"> </w:t>
      </w:r>
      <w:r>
        <w:t>ontving,</w:t>
      </w:r>
      <w:r w:rsidRPr="00D71EBC">
        <w:t xml:space="preserve"> </w:t>
      </w:r>
      <w:r w:rsidRPr="007B1ED2">
        <w:t>komt</w:t>
      </w:r>
      <w:r>
        <w:t xml:space="preserve"> </w:t>
      </w:r>
      <w:r w:rsidRPr="00D71EBC">
        <w:t xml:space="preserve">diegene </w:t>
      </w:r>
      <w:r>
        <w:t xml:space="preserve">in sommige gevallen voor automatische </w:t>
      </w:r>
      <w:r w:rsidRPr="006F0E45">
        <w:t>kwijtschelding</w:t>
      </w:r>
      <w:r w:rsidRPr="007B1ED2">
        <w:t xml:space="preserve"> in</w:t>
      </w:r>
      <w:r>
        <w:t xml:space="preserve"> aanmerking. </w:t>
      </w:r>
    </w:p>
    <w:p w:rsidR="00EE1E1B" w:rsidRDefault="00EE1E1B" w:rsidP="00EE4185"/>
    <w:p w:rsidR="00EE1E1B" w:rsidRDefault="00EE1E1B" w:rsidP="00EE4185">
      <w:r w:rsidRPr="003E160F">
        <w:t xml:space="preserve">Automatische </w:t>
      </w:r>
      <w:r w:rsidRPr="006F0E45">
        <w:t>kwijtschelding</w:t>
      </w:r>
      <w:r w:rsidRPr="003E160F">
        <w:t xml:space="preserve"> houdt in dat, zolang het inkomen en </w:t>
      </w:r>
      <w:r w:rsidRPr="006F0E45">
        <w:t>vermogen</w:t>
      </w:r>
      <w:r w:rsidRPr="003E160F">
        <w:t xml:space="preserve"> niet verandert, betrokkene in de jaren erna geen belasting hoeft te betalen. Hij hoeft dan niet ieder jaar zelf opnieuw een aanvraag om </w:t>
      </w:r>
      <w:r w:rsidRPr="006F0E45">
        <w:t>kwijtschelding</w:t>
      </w:r>
      <w:r w:rsidRPr="003E160F">
        <w:t xml:space="preserve"> te doen.</w:t>
      </w:r>
    </w:p>
    <w:p w:rsidR="00EE1E1B" w:rsidRDefault="00EE1E1B" w:rsidP="00EE4185"/>
    <w:p w:rsidR="00EE1E1B" w:rsidRDefault="00EE1E1B" w:rsidP="00035470">
      <w:r>
        <w:t xml:space="preserve">Of iemand recht heeft op automatische vrijstelling, laat de gemeente ’s-Hertogenbosch ieder jaar toetsen door het Inlichtingenbureau. Voorwaarde is wel dat degene die </w:t>
      </w:r>
      <w:r w:rsidRPr="006F0E45">
        <w:t>kwijtschelding</w:t>
      </w:r>
      <w:r>
        <w:t xml:space="preserve"> aanvraagt de gemeente toestemming gaf</w:t>
      </w:r>
      <w:r w:rsidRPr="007B1ED2">
        <w:t xml:space="preserve"> voor d</w:t>
      </w:r>
      <w:r>
        <w:t>e toetsing door dit Inlichtingenbureau.</w:t>
      </w:r>
    </w:p>
    <w:p w:rsidR="00EE1E1B" w:rsidRDefault="00EE1E1B" w:rsidP="00EE4185">
      <w:r>
        <w:t xml:space="preserve">Het Inlichtingenbureau toetst het </w:t>
      </w:r>
      <w:r w:rsidRPr="006F0E45">
        <w:t>vermogen</w:t>
      </w:r>
      <w:r>
        <w:t xml:space="preserve"> van de aanvrager aan de </w:t>
      </w:r>
      <w:r w:rsidRPr="006F0E45">
        <w:t>normbedragen</w:t>
      </w:r>
      <w:r>
        <w:t xml:space="preserve"> </w:t>
      </w:r>
      <w:r w:rsidRPr="006F0E45">
        <w:t>kwijtscheldingen</w:t>
      </w:r>
      <w:r>
        <w:t xml:space="preserve"> belastingen. Dit zijn normen voor inkomen en </w:t>
      </w:r>
      <w:r w:rsidRPr="006F0E45">
        <w:t>vermogen</w:t>
      </w:r>
      <w:r>
        <w:t xml:space="preserve">. Het Inlichtingenbureau controleert gegevens via (o.a.) het </w:t>
      </w:r>
      <w:r w:rsidRPr="006F0E45">
        <w:t>UWV</w:t>
      </w:r>
      <w:r>
        <w:t>, de Belastingdienst en het R</w:t>
      </w:r>
      <w:r w:rsidRPr="007B1ED2">
        <w:t>DW. Z</w:t>
      </w:r>
      <w:r>
        <w:t>o stelt z</w:t>
      </w:r>
      <w:r w:rsidRPr="007B1ED2">
        <w:t>ij gea</w:t>
      </w:r>
      <w:r>
        <w:t xml:space="preserve">utomatiseerd vast of recht is op automatische </w:t>
      </w:r>
      <w:r w:rsidRPr="006F0E45">
        <w:t>kwijtschelding</w:t>
      </w:r>
      <w:r>
        <w:t xml:space="preserve">. </w:t>
      </w:r>
    </w:p>
    <w:p w:rsidR="00EE1E1B" w:rsidRDefault="00EE1E1B" w:rsidP="00EE4185"/>
    <w:p w:rsidR="00EE1E1B" w:rsidRPr="007B1ED2" w:rsidRDefault="00EE1E1B" w:rsidP="00EE4185">
      <w:pPr>
        <w:rPr>
          <w:u w:val="single"/>
        </w:rPr>
      </w:pPr>
      <w:r>
        <w:rPr>
          <w:u w:val="single"/>
        </w:rPr>
        <w:t>Hoe informeerde</w:t>
      </w:r>
      <w:r w:rsidRPr="007B1ED2">
        <w:rPr>
          <w:u w:val="single"/>
        </w:rPr>
        <w:t xml:space="preserve"> de gemeente verzoekster? </w:t>
      </w:r>
    </w:p>
    <w:p w:rsidR="00EE1E1B" w:rsidRPr="007B1ED2" w:rsidRDefault="00EE1E1B" w:rsidP="0074377C">
      <w:r>
        <w:t xml:space="preserve">Verzoekster kreeg vanaf 2004 </w:t>
      </w:r>
      <w:r w:rsidRPr="006F0E45">
        <w:t>kwijtschelding</w:t>
      </w:r>
      <w:r>
        <w:t>. Voorgaande</w:t>
      </w:r>
      <w:r w:rsidRPr="007B1ED2">
        <w:t xml:space="preserve"> jaren v</w:t>
      </w:r>
      <w:r>
        <w:t xml:space="preserve">erliep de </w:t>
      </w:r>
      <w:r w:rsidRPr="006F0E45">
        <w:t>kwijtschelding</w:t>
      </w:r>
      <w:r>
        <w:t xml:space="preserve"> steeds automatisch</w:t>
      </w:r>
      <w:r w:rsidRPr="007B1ED2">
        <w:t xml:space="preserve">. Eind 2012 </w:t>
      </w:r>
      <w:r w:rsidRPr="006F0E45">
        <w:t>verleende</w:t>
      </w:r>
      <w:r w:rsidRPr="007B1ED2">
        <w:t xml:space="preserve"> verzoekster toe</w:t>
      </w:r>
      <w:r w:rsidRPr="003E160F">
        <w:t>stemming</w:t>
      </w:r>
      <w:r w:rsidRPr="007B1ED2">
        <w:t xml:space="preserve"> </w:t>
      </w:r>
      <w:r w:rsidRPr="003E160F">
        <w:t xml:space="preserve">voor de </w:t>
      </w:r>
      <w:r>
        <w:t>inkomens- en vermogenstoets door het Inlichtingenbureau. Dit bureau stelde vast</w:t>
      </w:r>
      <w:r w:rsidRPr="007B1ED2">
        <w:t xml:space="preserve"> dat het sal</w:t>
      </w:r>
      <w:r>
        <w:t xml:space="preserve">do op de bankrekening(en) van verzoekster hoger was dan de wet toestaat. Om die reden </w:t>
      </w:r>
      <w:r w:rsidRPr="006F0E45">
        <w:t>verleende</w:t>
      </w:r>
      <w:r>
        <w:t xml:space="preserve"> de gemeente voor 2013 niet automatisch </w:t>
      </w:r>
      <w:r w:rsidRPr="006F0E45">
        <w:t>kwijtschelding</w:t>
      </w:r>
      <w:r>
        <w:t xml:space="preserve"> </w:t>
      </w:r>
      <w:r w:rsidRPr="007B1ED2">
        <w:t xml:space="preserve">en </w:t>
      </w:r>
      <w:r>
        <w:t>legde de gemeente</w:t>
      </w:r>
      <w:r w:rsidRPr="007B1ED2">
        <w:t xml:space="preserve"> verzoekster een aanslag gemeentelijke heffingen op. </w:t>
      </w:r>
    </w:p>
    <w:p w:rsidR="00EE1E1B" w:rsidRPr="007B1ED2" w:rsidRDefault="00EE1E1B" w:rsidP="0074377C"/>
    <w:p w:rsidR="00EE1E1B" w:rsidRDefault="00EE1E1B" w:rsidP="0074377C">
      <w:r w:rsidRPr="007B1ED2">
        <w:t>D</w:t>
      </w:r>
      <w:r>
        <w:t xml:space="preserve">e Ombudscommissie stelt vast dat de gemeente verzoekster informeerde over de resultaten van de toets van het Inlichtingenbureau en de consequenties daarvan. In haar brieven spreekt de gemeente over “geautomatiseerde vrijstelling”. In de brief om toestemming te vragen gegevens op te vragen bij het Inlichtingenbureau. En ook in de brief over de resultaten van de toetsing door het Inlichtingenbureau. De term “geautomatiseerde vrijstelling” leidde tot verwarring bij verzoekster. Zij begreep uit genoemde brieven niet waarom zij geen recht meer had op automatische vrijstelling. </w:t>
      </w:r>
    </w:p>
    <w:p w:rsidR="00EE1E1B" w:rsidRDefault="00EE1E1B" w:rsidP="0074377C"/>
    <w:p w:rsidR="00EE1E1B" w:rsidRPr="008A6BAF" w:rsidRDefault="00EE1E1B" w:rsidP="0074377C">
      <w:r>
        <w:t xml:space="preserve">De commissie vindt de term “geautomatiseerde vrijstelling” verwarrend. Niet uit te sluiten is dat burgers </w:t>
      </w:r>
      <w:r w:rsidRPr="0062293E">
        <w:rPr>
          <w:rFonts w:cs="Arial"/>
        </w:rPr>
        <w:t>d</w:t>
      </w:r>
      <w:r>
        <w:rPr>
          <w:rFonts w:cs="Arial"/>
        </w:rPr>
        <w:t>oor</w:t>
      </w:r>
      <w:r w:rsidRPr="0062293E">
        <w:rPr>
          <w:rFonts w:cs="Arial"/>
        </w:rPr>
        <w:t xml:space="preserve"> de term “geautomatiseerde vrijstelling” denken dat ze recht hebben op </w:t>
      </w:r>
      <w:r w:rsidRPr="007872CF">
        <w:rPr>
          <w:rFonts w:cs="Arial"/>
        </w:rPr>
        <w:t xml:space="preserve">automatische </w:t>
      </w:r>
      <w:r w:rsidRPr="006F0E45">
        <w:rPr>
          <w:rFonts w:cs="Arial"/>
        </w:rPr>
        <w:t>kwijtschelding</w:t>
      </w:r>
      <w:r>
        <w:rPr>
          <w:rFonts w:cs="Arial"/>
        </w:rPr>
        <w:t>. Dit is niet zo. De burger</w:t>
      </w:r>
      <w:r w:rsidR="00A23078">
        <w:rPr>
          <w:rFonts w:cs="Arial"/>
          <w:u w:val="thick" w:color="FFCC00"/>
        </w:rPr>
        <w:t xml:space="preserve"> </w:t>
      </w:r>
      <w:r w:rsidRPr="006F0E45">
        <w:rPr>
          <w:rFonts w:cs="Arial"/>
        </w:rPr>
        <w:t>verleent</w:t>
      </w:r>
      <w:r w:rsidRPr="0062293E">
        <w:rPr>
          <w:rFonts w:cs="Arial"/>
        </w:rPr>
        <w:t xml:space="preserve"> toestemming voor een toe</w:t>
      </w:r>
      <w:r>
        <w:rPr>
          <w:rFonts w:cs="Arial"/>
        </w:rPr>
        <w:t>ts door het Inlichtingenbureau.</w:t>
      </w:r>
      <w:r w:rsidRPr="007872CF">
        <w:rPr>
          <w:rFonts w:cs="Arial"/>
        </w:rPr>
        <w:t xml:space="preserve"> Pas na deze t</w:t>
      </w:r>
      <w:r>
        <w:rPr>
          <w:rFonts w:cs="Arial"/>
        </w:rPr>
        <w:t xml:space="preserve">oets volgt wel of </w:t>
      </w:r>
      <w:r w:rsidRPr="0062293E">
        <w:rPr>
          <w:rFonts w:cs="Arial"/>
        </w:rPr>
        <w:t xml:space="preserve">niet automatische </w:t>
      </w:r>
      <w:r w:rsidRPr="006F0E45">
        <w:rPr>
          <w:rFonts w:cs="Arial"/>
        </w:rPr>
        <w:t>kwijtschelding</w:t>
      </w:r>
      <w:r w:rsidRPr="0062293E">
        <w:rPr>
          <w:rFonts w:cs="Arial"/>
        </w:rPr>
        <w:t xml:space="preserve">. </w:t>
      </w:r>
    </w:p>
    <w:p w:rsidR="00EE1E1B" w:rsidRDefault="00EE1E1B" w:rsidP="0074377C">
      <w:pPr>
        <w:rPr>
          <w:rFonts w:cs="Arial"/>
        </w:rPr>
      </w:pPr>
    </w:p>
    <w:p w:rsidR="00EE1E1B" w:rsidRPr="007872CF" w:rsidRDefault="00EE1E1B" w:rsidP="0074377C">
      <w:pPr>
        <w:rPr>
          <w:rFonts w:cs="Arial"/>
        </w:rPr>
      </w:pPr>
      <w:r w:rsidRPr="007872CF">
        <w:rPr>
          <w:rFonts w:cs="Arial"/>
        </w:rPr>
        <w:t>De commissie v</w:t>
      </w:r>
      <w:r>
        <w:rPr>
          <w:rFonts w:cs="Arial"/>
        </w:rPr>
        <w:t>raagt</w:t>
      </w:r>
      <w:r w:rsidRPr="007872CF">
        <w:rPr>
          <w:rFonts w:cs="Arial"/>
        </w:rPr>
        <w:t xml:space="preserve"> de gemeente op dit punt nog eens goed naar de tekst in haar brieven te kijken om genoemde verwarring tussen “geautomatiseerde” en “automatische” vrijstelling te voorkomen. </w:t>
      </w:r>
      <w:r>
        <w:rPr>
          <w:rFonts w:cs="Arial"/>
        </w:rPr>
        <w:t>Dit kan door de tekst zo nodig aan te passen of aan te vullen.</w:t>
      </w:r>
    </w:p>
    <w:p w:rsidR="00EE1E1B" w:rsidRPr="007872CF" w:rsidRDefault="00EE1E1B" w:rsidP="0074377C"/>
    <w:p w:rsidR="00EE1E1B" w:rsidRDefault="00EE1E1B" w:rsidP="00BD37FD">
      <w:r w:rsidRPr="007872CF">
        <w:t>D</w:t>
      </w:r>
      <w:r>
        <w:t>e</w:t>
      </w:r>
      <w:r w:rsidRPr="00652124">
        <w:t xml:space="preserve"> Ombudscommissie </w:t>
      </w:r>
      <w:r>
        <w:t>stelt vast dat geen spr</w:t>
      </w:r>
      <w:r w:rsidRPr="00652124">
        <w:t>ake is van een v</w:t>
      </w:r>
      <w:r>
        <w:t>erkeerde</w:t>
      </w:r>
      <w:r w:rsidRPr="00652124">
        <w:t xml:space="preserve"> of onv</w:t>
      </w:r>
      <w:r>
        <w:t xml:space="preserve">olledige </w:t>
      </w:r>
      <w:r w:rsidRPr="006F0E45">
        <w:t>informatieverschaffing</w:t>
      </w:r>
      <w:r>
        <w:t xml:space="preserve"> aan verzoekster. Om die reden is er op dit punt ook geen sprake van een onbehoorlijke gedragi</w:t>
      </w:r>
      <w:r w:rsidRPr="007872CF">
        <w:t xml:space="preserve">ng. </w:t>
      </w:r>
    </w:p>
    <w:p w:rsidR="00EE1E1B" w:rsidRDefault="00EE1E1B">
      <w:pPr>
        <w:spacing w:after="200" w:line="276" w:lineRule="auto"/>
      </w:pPr>
      <w:r>
        <w:br w:type="page"/>
      </w:r>
    </w:p>
    <w:p w:rsidR="00EE1E1B" w:rsidRPr="007872CF" w:rsidRDefault="00EE1E1B" w:rsidP="0074377C">
      <w:pPr>
        <w:rPr>
          <w:u w:val="single"/>
        </w:rPr>
      </w:pPr>
      <w:r w:rsidRPr="007872CF">
        <w:rPr>
          <w:u w:val="single"/>
        </w:rPr>
        <w:lastRenderedPageBreak/>
        <w:t xml:space="preserve">Hoe beoordeelde de gemeente het vermogen van verzoekster? </w:t>
      </w:r>
    </w:p>
    <w:p w:rsidR="00EE1E1B" w:rsidRDefault="00EE1E1B" w:rsidP="00D71EBC">
      <w:r>
        <w:t>Voor het belastingj</w:t>
      </w:r>
      <w:r w:rsidRPr="007872CF">
        <w:t>aar 2013</w:t>
      </w:r>
      <w:r>
        <w:t xml:space="preserve"> vulde verzoekster een apart (verkort) formulier in om alsnog voor </w:t>
      </w:r>
      <w:r w:rsidRPr="006F0E45">
        <w:t>kwijtschelding</w:t>
      </w:r>
      <w:r>
        <w:t xml:space="preserve"> in aanmerking te komen. De gemeente wees dit verzoek af. Volgens de gemeente had verzoekster op het moment dat ze het verzoek tot </w:t>
      </w:r>
      <w:r w:rsidRPr="006F0E45">
        <w:t>kwijtschelding</w:t>
      </w:r>
      <w:r>
        <w:t xml:space="preserve"> indiende</w:t>
      </w:r>
      <w:r>
        <w:rPr>
          <w:rStyle w:val="Voetnootmarkering"/>
        </w:rPr>
        <w:footnoteReference w:id="1"/>
      </w:r>
      <w:r>
        <w:t xml:space="preserve"> teveel (spaar)geld op haar bank- en spaarrekening staan. In totaal € 3553,58.</w:t>
      </w:r>
    </w:p>
    <w:p w:rsidR="00EE1E1B" w:rsidRDefault="00EE1E1B" w:rsidP="00D71EBC"/>
    <w:p w:rsidR="00EE1E1B" w:rsidRPr="004E4EE8" w:rsidRDefault="00EE1E1B" w:rsidP="004E4EE8">
      <w:r>
        <w:t>Verzoekster</w:t>
      </w:r>
      <w:r w:rsidRPr="00D71EBC">
        <w:t xml:space="preserve"> begrijpt niet dat zij </w:t>
      </w:r>
      <w:r>
        <w:t>voor het jaar 2013</w:t>
      </w:r>
      <w:r w:rsidRPr="00D71EBC">
        <w:t xml:space="preserve"> de </w:t>
      </w:r>
      <w:r w:rsidRPr="006F0E45">
        <w:t>kwijtschelding</w:t>
      </w:r>
      <w:r w:rsidRPr="00D71EBC">
        <w:t xml:space="preserve"> moest aanvragen en </w:t>
      </w:r>
      <w:r>
        <w:t xml:space="preserve">de gemeente </w:t>
      </w:r>
      <w:r w:rsidRPr="00D71EBC">
        <w:t xml:space="preserve">deze </w:t>
      </w:r>
      <w:r w:rsidRPr="006F0E45">
        <w:t>kwijtschelding</w:t>
      </w:r>
      <w:r w:rsidRPr="00D71EBC">
        <w:t xml:space="preserve"> </w:t>
      </w:r>
      <w:r>
        <w:t>niet autom</w:t>
      </w:r>
      <w:r w:rsidRPr="0062293E">
        <w:t xml:space="preserve">atisch </w:t>
      </w:r>
      <w:r w:rsidRPr="006F0E45">
        <w:t>verleende</w:t>
      </w:r>
      <w:r w:rsidRPr="0062293E">
        <w:t>. Haar (fi</w:t>
      </w:r>
      <w:r w:rsidRPr="00D71EBC">
        <w:t xml:space="preserve">nanciële) situatie </w:t>
      </w:r>
      <w:r>
        <w:t xml:space="preserve">is </w:t>
      </w:r>
      <w:r w:rsidRPr="00D71EBC">
        <w:t xml:space="preserve">volgens haar </w:t>
      </w:r>
      <w:r>
        <w:t xml:space="preserve">namelijk </w:t>
      </w:r>
      <w:r w:rsidRPr="00D71EBC">
        <w:t>onveranderd gebleven</w:t>
      </w:r>
      <w:r>
        <w:t>.</w:t>
      </w:r>
      <w:r w:rsidRPr="004E4EE8">
        <w:t xml:space="preserve"> </w:t>
      </w:r>
      <w:r>
        <w:t xml:space="preserve">Door teruggave </w:t>
      </w:r>
      <w:r w:rsidRPr="00C01E78">
        <w:t>van teveel betaalde</w:t>
      </w:r>
      <w:r>
        <w:t xml:space="preserve"> energierekening</w:t>
      </w:r>
      <w:r w:rsidRPr="00C01E78">
        <w:t xml:space="preserve"> en de uitbetali</w:t>
      </w:r>
      <w:r w:rsidRPr="004E4EE8">
        <w:t xml:space="preserve">ng van </w:t>
      </w:r>
      <w:r>
        <w:t xml:space="preserve">een </w:t>
      </w:r>
      <w:r w:rsidRPr="004E4EE8">
        <w:t>schadeve</w:t>
      </w:r>
      <w:r w:rsidRPr="00C01E78">
        <w:t xml:space="preserve">rgoeding voor renovatie van </w:t>
      </w:r>
      <w:r w:rsidRPr="004E4EE8">
        <w:t>haar woning</w:t>
      </w:r>
      <w:r>
        <w:t>, stond er meer geld op haar bankrekening</w:t>
      </w:r>
      <w:r w:rsidRPr="004E4EE8">
        <w:t>. Z</w:t>
      </w:r>
      <w:r>
        <w:t>o blijkt uit de klacht van verz</w:t>
      </w:r>
      <w:r w:rsidRPr="004E4EE8">
        <w:t xml:space="preserve">oekster. </w:t>
      </w:r>
    </w:p>
    <w:p w:rsidR="00EE1E1B" w:rsidRPr="004E4EE8" w:rsidRDefault="00EE1E1B" w:rsidP="0023266B"/>
    <w:p w:rsidR="00EE1E1B" w:rsidRPr="004E4EE8" w:rsidRDefault="00EE1E1B" w:rsidP="00FD09CF">
      <w:r w:rsidRPr="004E4EE8">
        <w:t xml:space="preserve">De commissie </w:t>
      </w:r>
      <w:r>
        <w:t>stelt vast dat verzoekster in 2013 aanzien</w:t>
      </w:r>
      <w:r w:rsidRPr="004E4EE8">
        <w:t>lijk mind</w:t>
      </w:r>
      <w:r>
        <w:t>er vermogen mag hebben om voor kwijtschelding in aanmerking te komen. Het maximumbedrag aan (spaar)geld en bezittingen is aanzienlijk</w:t>
      </w:r>
      <w:r>
        <w:rPr>
          <w:u w:val="thick" w:color="FFCC00"/>
        </w:rPr>
        <w:t xml:space="preserve"> </w:t>
      </w:r>
      <w:r w:rsidRPr="004E4EE8">
        <w:t>verlaagd.</w:t>
      </w:r>
      <w:r>
        <w:t xml:space="preserve"> In 2010, 2011 en 2012 mocht het maximale vermogen nog gelijk zijn aan de bedrage</w:t>
      </w:r>
      <w:r w:rsidRPr="004E4EE8">
        <w:t>n uit de Wet w</w:t>
      </w:r>
      <w:r>
        <w:t>erk en bijstand. Voor een a</w:t>
      </w:r>
      <w:r w:rsidRPr="004E4EE8">
        <w:t>lleenstaande was</w:t>
      </w:r>
      <w:r>
        <w:t xml:space="preserve"> dit </w:t>
      </w:r>
      <w:r>
        <w:rPr>
          <w:rFonts w:cs="Arial"/>
        </w:rPr>
        <w:t>€</w:t>
      </w:r>
      <w:r>
        <w:t xml:space="preserve"> </w:t>
      </w:r>
      <w:smartTag w:uri="urn:schemas-microsoft-com:office:smarttags" w:element="metricconverter">
        <w:smartTagPr>
          <w:attr w:name="ProductID" w:val="5685. In"/>
        </w:smartTagPr>
        <w:r>
          <w:t>5685. In</w:t>
        </w:r>
      </w:smartTag>
      <w:r>
        <w:t xml:space="preserve"> 2013 mag de gemeente de maximumbedragen uit de Wet werk en bijstand niet meer gebruiken.</w:t>
      </w:r>
      <w:r w:rsidRPr="004E4EE8">
        <w:t xml:space="preserve"> Hierb</w:t>
      </w:r>
      <w:r>
        <w:t xml:space="preserve">ij heeft de gemeente geen keuzevrijheid en </w:t>
      </w:r>
      <w:r w:rsidRPr="0062293E">
        <w:t>a</w:t>
      </w:r>
      <w:r>
        <w:t>lleen</w:t>
      </w:r>
      <w:r w:rsidRPr="0062293E">
        <w:t xml:space="preserve"> een z</w:t>
      </w:r>
      <w:r>
        <w:t>eer geringe beleidsvrijheid bij ha</w:t>
      </w:r>
      <w:r w:rsidRPr="004E4EE8">
        <w:t>ar vermogenstoe</w:t>
      </w:r>
      <w:r>
        <w:t>ts. Dit komt door een wetswijzigin</w:t>
      </w:r>
      <w:r w:rsidRPr="004E4EE8">
        <w:t xml:space="preserve">g. </w:t>
      </w:r>
    </w:p>
    <w:p w:rsidR="00EE1E1B" w:rsidRPr="004E4EE8" w:rsidRDefault="00EE1E1B" w:rsidP="00100FB6"/>
    <w:p w:rsidR="00EE1E1B" w:rsidRDefault="00EE1E1B" w:rsidP="008D78A4">
      <w:r>
        <w:t>In de Uitv</w:t>
      </w:r>
      <w:r w:rsidRPr="00C01E78">
        <w:t>oering</w:t>
      </w:r>
      <w:r>
        <w:t>s</w:t>
      </w:r>
      <w:r w:rsidRPr="00C01E78">
        <w:t>regeling staat dat d</w:t>
      </w:r>
      <w:r>
        <w:t>e belastingplichtige de aanslag gemeentelijke heffingen moet betalen</w:t>
      </w:r>
      <w:r w:rsidRPr="00C01E78">
        <w:t xml:space="preserve"> als d</w:t>
      </w:r>
      <w:r>
        <w:t>aar</w:t>
      </w:r>
      <w:r w:rsidRPr="00C01E78">
        <w:t xml:space="preserve">voor voldoende </w:t>
      </w:r>
      <w:r w:rsidRPr="006F0E45">
        <w:t>vermogen</w:t>
      </w:r>
      <w:r w:rsidRPr="00C01E78">
        <w:t xml:space="preserve"> (banksaldo) aanwezig is. </w:t>
      </w:r>
      <w:r>
        <w:t xml:space="preserve">Niet alle bedragen worden als </w:t>
      </w:r>
      <w:r w:rsidRPr="006F0E45">
        <w:t>vermogen</w:t>
      </w:r>
      <w:r>
        <w:t xml:space="preserve"> meegerekend.</w:t>
      </w:r>
      <w:r w:rsidRPr="00C01E78">
        <w:t xml:space="preserve"> Sommige bedragen </w:t>
      </w:r>
      <w:r>
        <w:t>blijven</w:t>
      </w:r>
      <w:r w:rsidRPr="00E75090">
        <w:t xml:space="preserve"> bij </w:t>
      </w:r>
      <w:r w:rsidRPr="00C01E78">
        <w:t>de beoordeling van</w:t>
      </w:r>
      <w:r w:rsidRPr="00C66455">
        <w:t xml:space="preserve"> het v</w:t>
      </w:r>
      <w:r>
        <w:t>ermogen</w:t>
      </w:r>
      <w:r w:rsidRPr="00C01E78">
        <w:t xml:space="preserve"> buit</w:t>
      </w:r>
      <w:r w:rsidRPr="00C66455">
        <w:t>en beschouwing</w:t>
      </w:r>
      <w:r w:rsidRPr="00C01E78">
        <w:t>.</w:t>
      </w:r>
      <w:r w:rsidRPr="00C66455">
        <w:t xml:space="preserve"> De </w:t>
      </w:r>
      <w:r w:rsidRPr="006F0E45">
        <w:t>teruggave</w:t>
      </w:r>
      <w:r w:rsidRPr="00C66455">
        <w:t xml:space="preserve"> </w:t>
      </w:r>
      <w:r w:rsidRPr="00C01E78">
        <w:t xml:space="preserve">van teveel betaalde </w:t>
      </w:r>
      <w:r w:rsidRPr="006F0E45">
        <w:t>energierekening</w:t>
      </w:r>
      <w:r w:rsidRPr="00C01E78">
        <w:t xml:space="preserve"> en de uitbetaling van een schadevergoeding </w:t>
      </w:r>
      <w:r>
        <w:t>vallen</w:t>
      </w:r>
      <w:r w:rsidRPr="00C01E78">
        <w:t xml:space="preserve"> niet onder de </w:t>
      </w:r>
      <w:r>
        <w:t>in de wet genoemde</w:t>
      </w:r>
      <w:r w:rsidRPr="00C01E78">
        <w:t xml:space="preserve"> uitzonderingen.</w:t>
      </w:r>
      <w:r>
        <w:t xml:space="preserve"> </w:t>
      </w:r>
      <w:r w:rsidRPr="00C01E78">
        <w:t>Ook is geen sprake van een doeluitkerin</w:t>
      </w:r>
      <w:r w:rsidRPr="00E75090">
        <w:t>g die de gemee</w:t>
      </w:r>
      <w:r w:rsidRPr="00C01E78">
        <w:t xml:space="preserve">nte bij </w:t>
      </w:r>
      <w:r>
        <w:t>de vermogenstoets buiten besc</w:t>
      </w:r>
      <w:r w:rsidRPr="00E75090">
        <w:t>hou</w:t>
      </w:r>
      <w:r>
        <w:t xml:space="preserve">wing </w:t>
      </w:r>
      <w:r w:rsidRPr="00E75090">
        <w:t>l</w:t>
      </w:r>
      <w:r>
        <w:t>aat</w:t>
      </w:r>
      <w:r w:rsidRPr="00E75090">
        <w:t xml:space="preserve">. </w:t>
      </w:r>
    </w:p>
    <w:p w:rsidR="00EE1E1B" w:rsidRDefault="00EE1E1B" w:rsidP="008D78A4"/>
    <w:p w:rsidR="00EE1E1B" w:rsidRPr="00161EBB" w:rsidRDefault="00EE1E1B" w:rsidP="00C01E78">
      <w:pPr>
        <w:rPr>
          <w:rFonts w:cs="Arial"/>
        </w:rPr>
      </w:pPr>
      <w:r w:rsidRPr="004E4EE8">
        <w:t xml:space="preserve">Door </w:t>
      </w:r>
      <w:r w:rsidRPr="0062293E">
        <w:t>de aangescherpte</w:t>
      </w:r>
      <w:r w:rsidRPr="00E75090">
        <w:t xml:space="preserve"> vermogenstoets </w:t>
      </w:r>
      <w:r>
        <w:t>was</w:t>
      </w:r>
      <w:r w:rsidRPr="00E75090">
        <w:t xml:space="preserve"> het tegoed op de (spaar)rekeningen van verzoekster </w:t>
      </w:r>
      <w:r>
        <w:t>op de peildatum</w:t>
      </w:r>
      <w:r w:rsidRPr="00E75090">
        <w:t xml:space="preserve">, te hoog om in aanmerking te komen voor kwijtschelding. </w:t>
      </w:r>
      <w:r w:rsidRPr="00161EBB">
        <w:rPr>
          <w:rFonts w:cs="Arial"/>
        </w:rPr>
        <w:t>De afwijzing van het kwijtscheldingsverzoek was daarom volgens de regels correct. Ook de afwijzing van het</w:t>
      </w:r>
      <w:r>
        <w:rPr>
          <w:rFonts w:cs="Arial"/>
        </w:rPr>
        <w:t xml:space="preserve"> administratief</w:t>
      </w:r>
      <w:r w:rsidRPr="00161EBB">
        <w:rPr>
          <w:rFonts w:cs="Arial"/>
        </w:rPr>
        <w:t xml:space="preserve"> beroep was daarom terecht. </w:t>
      </w:r>
    </w:p>
    <w:p w:rsidR="00EE1E1B" w:rsidRPr="00161EBB" w:rsidRDefault="00EE1E1B" w:rsidP="00161EBB">
      <w:pPr>
        <w:rPr>
          <w:rFonts w:cs="Arial"/>
        </w:rPr>
      </w:pPr>
    </w:p>
    <w:p w:rsidR="00EE1E1B" w:rsidRPr="00161EBB" w:rsidRDefault="00EE1E1B" w:rsidP="00161EBB">
      <w:pPr>
        <w:rPr>
          <w:rFonts w:cs="Arial"/>
        </w:rPr>
      </w:pPr>
      <w:r>
        <w:rPr>
          <w:rFonts w:cs="Arial"/>
        </w:rPr>
        <w:t xml:space="preserve">De commissie  wil  </w:t>
      </w:r>
      <w:r w:rsidRPr="00161EBB">
        <w:rPr>
          <w:rFonts w:cs="Arial"/>
        </w:rPr>
        <w:t xml:space="preserve">daarmee niet beweren dat </w:t>
      </w:r>
      <w:r>
        <w:rPr>
          <w:rFonts w:cs="Arial"/>
        </w:rPr>
        <w:t>verzoekster</w:t>
      </w:r>
      <w:r w:rsidRPr="00161EBB">
        <w:rPr>
          <w:rFonts w:cs="Arial"/>
        </w:rPr>
        <w:t xml:space="preserve"> ruim voldoende geld heeft </w:t>
      </w:r>
      <w:r>
        <w:rPr>
          <w:rFonts w:cs="Arial"/>
        </w:rPr>
        <w:t>om</w:t>
      </w:r>
      <w:r w:rsidRPr="00161EBB">
        <w:rPr>
          <w:rFonts w:cs="Arial"/>
        </w:rPr>
        <w:t xml:space="preserve"> de aanslag </w:t>
      </w:r>
      <w:r w:rsidRPr="0062293E">
        <w:rPr>
          <w:rFonts w:cs="Arial"/>
        </w:rPr>
        <w:t>zon</w:t>
      </w:r>
      <w:r w:rsidRPr="00161EBB">
        <w:rPr>
          <w:rFonts w:cs="Arial"/>
        </w:rPr>
        <w:t>der prob</w:t>
      </w:r>
      <w:r w:rsidRPr="0062293E">
        <w:rPr>
          <w:rFonts w:cs="Arial"/>
        </w:rPr>
        <w:t>lemen t</w:t>
      </w:r>
      <w:r>
        <w:rPr>
          <w:rFonts w:cs="Arial"/>
        </w:rPr>
        <w:t xml:space="preserve">e </w:t>
      </w:r>
      <w:r w:rsidRPr="006F0E45">
        <w:rPr>
          <w:rFonts w:cs="Arial"/>
        </w:rPr>
        <w:t>voldoen</w:t>
      </w:r>
      <w:r w:rsidRPr="0062293E">
        <w:rPr>
          <w:rFonts w:cs="Arial"/>
        </w:rPr>
        <w:t xml:space="preserve">. </w:t>
      </w:r>
      <w:r>
        <w:rPr>
          <w:rFonts w:cs="Arial"/>
        </w:rPr>
        <w:t>De commi</w:t>
      </w:r>
      <w:r w:rsidRPr="0062293E">
        <w:rPr>
          <w:rFonts w:cs="Arial"/>
        </w:rPr>
        <w:t>ssie st</w:t>
      </w:r>
      <w:r>
        <w:rPr>
          <w:rFonts w:cs="Arial"/>
        </w:rPr>
        <w:t xml:space="preserve">elt </w:t>
      </w:r>
      <w:r w:rsidRPr="00161EBB">
        <w:rPr>
          <w:rFonts w:cs="Arial"/>
        </w:rPr>
        <w:t xml:space="preserve">alleen vast dat </w:t>
      </w:r>
      <w:r>
        <w:rPr>
          <w:rFonts w:cs="Arial"/>
        </w:rPr>
        <w:t xml:space="preserve">de gemeente </w:t>
      </w:r>
      <w:r w:rsidRPr="00161EBB">
        <w:rPr>
          <w:rFonts w:cs="Arial"/>
        </w:rPr>
        <w:t xml:space="preserve">de geldende regels juist </w:t>
      </w:r>
      <w:r w:rsidRPr="00BC350A">
        <w:rPr>
          <w:rFonts w:cs="Arial"/>
        </w:rPr>
        <w:t>t</w:t>
      </w:r>
      <w:r>
        <w:rPr>
          <w:rFonts w:cs="Arial"/>
        </w:rPr>
        <w:t>oepaste</w:t>
      </w:r>
      <w:r w:rsidRPr="00161EBB">
        <w:rPr>
          <w:rFonts w:cs="Arial"/>
        </w:rPr>
        <w:t>.</w:t>
      </w:r>
      <w:r>
        <w:rPr>
          <w:rFonts w:cs="Arial"/>
        </w:rPr>
        <w:t xml:space="preserve"> Het gevoel van onrecht dat verzoekster </w:t>
      </w:r>
      <w:r w:rsidRPr="00671ED3">
        <w:rPr>
          <w:rFonts w:cs="Arial"/>
        </w:rPr>
        <w:t>e</w:t>
      </w:r>
      <w:r>
        <w:rPr>
          <w:rFonts w:cs="Arial"/>
        </w:rPr>
        <w:t>rvaart</w:t>
      </w:r>
      <w:r w:rsidRPr="00671ED3">
        <w:rPr>
          <w:rFonts w:cs="Arial"/>
        </w:rPr>
        <w:t xml:space="preserve">, </w:t>
      </w:r>
      <w:r w:rsidRPr="006F0E45">
        <w:rPr>
          <w:rFonts w:cs="Arial"/>
        </w:rPr>
        <w:t>kan</w:t>
      </w:r>
      <w:r w:rsidRPr="00671ED3">
        <w:rPr>
          <w:rFonts w:cs="Arial"/>
        </w:rPr>
        <w:t xml:space="preserve"> de com</w:t>
      </w:r>
      <w:r>
        <w:rPr>
          <w:rFonts w:cs="Arial"/>
        </w:rPr>
        <w:t xml:space="preserve">missie helaas hiermee niet wegnemen. </w:t>
      </w:r>
    </w:p>
    <w:p w:rsidR="00EE1E1B" w:rsidRDefault="00EE1E1B" w:rsidP="008D78A4"/>
    <w:p w:rsidR="00EE1E1B" w:rsidRPr="008D78A4" w:rsidRDefault="00EE1E1B" w:rsidP="00FD09CF">
      <w:pPr>
        <w:rPr>
          <w:u w:val="single"/>
        </w:rPr>
      </w:pPr>
      <w:r w:rsidRPr="008D78A4">
        <w:rPr>
          <w:u w:val="single"/>
        </w:rPr>
        <w:t>Informatieplicht</w:t>
      </w:r>
      <w:r>
        <w:rPr>
          <w:u w:val="single"/>
        </w:rPr>
        <w:t xml:space="preserve"> gemeente? </w:t>
      </w:r>
    </w:p>
    <w:p w:rsidR="00EE1E1B" w:rsidRPr="009C47DE" w:rsidRDefault="00EE1E1B" w:rsidP="00FD09CF">
      <w:r w:rsidRPr="00D71EBC">
        <w:t xml:space="preserve">Verzoekster geeft aan dat zij </w:t>
      </w:r>
      <w:r>
        <w:t>haar</w:t>
      </w:r>
      <w:r w:rsidRPr="00D71EBC">
        <w:t xml:space="preserve"> spaargeld in 30 jaar tijd zorgvuldig heeft opgebouwd. Dit geld is voor haar een buffer</w:t>
      </w:r>
      <w:r>
        <w:t>. Bij</w:t>
      </w:r>
      <w:r w:rsidRPr="00D71EBC">
        <w:t>voorbe</w:t>
      </w:r>
      <w:r>
        <w:t>eld voor een kapotte wasmachine</w:t>
      </w:r>
      <w:r w:rsidRPr="00D71EBC">
        <w:t xml:space="preserve">. Dit spaargeld geeft </w:t>
      </w:r>
      <w:r>
        <w:t>verzoekster</w:t>
      </w:r>
      <w:r w:rsidRPr="00D71EBC">
        <w:t xml:space="preserve"> een gevoel van onafhankelijkheid</w:t>
      </w:r>
      <w:r>
        <w:t xml:space="preserve"> </w:t>
      </w:r>
      <w:r w:rsidRPr="0062293E">
        <w:t>en vrijheid</w:t>
      </w:r>
      <w:r>
        <w:t>. Maar v</w:t>
      </w:r>
      <w:r w:rsidRPr="00D71EBC">
        <w:t>ooral een gevoel van eigenwaarde. Verzoekster is er trots op geen schulden te</w:t>
      </w:r>
      <w:r w:rsidRPr="009C47DE">
        <w:t xml:space="preserve"> hebben. Dat z</w:t>
      </w:r>
      <w:r w:rsidRPr="00D71EBC">
        <w:t>ij nu alsnog de gemeentel</w:t>
      </w:r>
      <w:r w:rsidRPr="009C47DE">
        <w:t xml:space="preserve">ijke belastingen en waterschapslasten moet betalen voelt voor haar als een groot onrecht. </w:t>
      </w:r>
    </w:p>
    <w:p w:rsidR="00EE1E1B" w:rsidRPr="009C47DE" w:rsidRDefault="00EE1E1B" w:rsidP="00FD09CF"/>
    <w:p w:rsidR="00EE1E1B" w:rsidRPr="009C47DE" w:rsidRDefault="00EE1E1B" w:rsidP="00FD09CF">
      <w:r w:rsidRPr="009C47DE">
        <w:t xml:space="preserve">De gemeente had </w:t>
      </w:r>
      <w:r>
        <w:t>haar</w:t>
      </w:r>
      <w:r w:rsidRPr="009C47DE">
        <w:t xml:space="preserve"> moeten informeren over de strengere vermogensnorm</w:t>
      </w:r>
      <w:r>
        <w:t xml:space="preserve"> in 2013</w:t>
      </w:r>
      <w:r w:rsidRPr="009C47DE">
        <w:t>, vindt verzoekster.</w:t>
      </w:r>
      <w:r>
        <w:rPr>
          <w:u w:val="thick" w:color="FF00FF"/>
        </w:rPr>
        <w:t xml:space="preserve"> </w:t>
      </w:r>
      <w:r w:rsidRPr="009C47DE">
        <w:t xml:space="preserve">Ook had de gemeente haar moeten uitleggen hoe zij haar verzoek om </w:t>
      </w:r>
      <w:r w:rsidRPr="006F0E45">
        <w:t>kwijtschelding</w:t>
      </w:r>
      <w:r w:rsidRPr="009C47DE">
        <w:t xml:space="preserve"> beoordeelde. </w:t>
      </w:r>
    </w:p>
    <w:p w:rsidR="00EE1E1B" w:rsidRPr="009C47DE" w:rsidRDefault="00EE1E1B" w:rsidP="00FD09CF"/>
    <w:p w:rsidR="00EE1E1B" w:rsidRDefault="00EE1E1B" w:rsidP="0089635A">
      <w:r w:rsidRPr="009C47DE">
        <w:t xml:space="preserve">De commissie </w:t>
      </w:r>
      <w:r>
        <w:t>stelt vast dat d</w:t>
      </w:r>
      <w:r w:rsidRPr="009C47DE">
        <w:t xml:space="preserve">e gemeente </w:t>
      </w:r>
      <w:r>
        <w:t xml:space="preserve">de burgers in ‘s-Hertogenbosch algemeen informeerde </w:t>
      </w:r>
      <w:r w:rsidRPr="00D71EBC">
        <w:t>over de wijziging van de vermogensnorm.</w:t>
      </w:r>
      <w:r>
        <w:t xml:space="preserve"> De wijziging van de vermogensnorm heeft in de Bossche Omroep gestaan. Verder staat op de </w:t>
      </w:r>
      <w:r w:rsidRPr="006F0E45">
        <w:t>internetpagina</w:t>
      </w:r>
      <w:r>
        <w:t xml:space="preserve"> van de gemeente vermeld dat de vermogensnorm voor de </w:t>
      </w:r>
      <w:r w:rsidRPr="006F0E45">
        <w:t>kwijtschelding</w:t>
      </w:r>
      <w:r>
        <w:t xml:space="preserve"> strenger is geworden.</w:t>
      </w:r>
    </w:p>
    <w:p w:rsidR="00EE1E1B" w:rsidRDefault="00EE1E1B" w:rsidP="00C8338D"/>
    <w:p w:rsidR="00EE1E1B" w:rsidRDefault="00EE1E1B" w:rsidP="001B6F2D">
      <w:r>
        <w:t>Verder</w:t>
      </w:r>
      <w:r w:rsidRPr="00D71EBC">
        <w:t xml:space="preserve"> </w:t>
      </w:r>
      <w:r>
        <w:t>vertelde</w:t>
      </w:r>
      <w:r w:rsidRPr="00D71EBC">
        <w:t xml:space="preserve"> de gemeente in </w:t>
      </w:r>
      <w:r>
        <w:t>de</w:t>
      </w:r>
      <w:r w:rsidRPr="00D71EBC">
        <w:t xml:space="preserve"> brief van 22 februari 2013 aan verzoekster </w:t>
      </w:r>
      <w:r w:rsidRPr="0062293E">
        <w:t>dat zij g</w:t>
      </w:r>
      <w:r w:rsidRPr="00D71EBC">
        <w:t xml:space="preserve">een geautomatiseerde </w:t>
      </w:r>
      <w:r w:rsidRPr="006F0E45">
        <w:t>kwijtschelding</w:t>
      </w:r>
      <w:r w:rsidRPr="00D71EBC">
        <w:t xml:space="preserve"> </w:t>
      </w:r>
      <w:r w:rsidRPr="006F0E45">
        <w:t>zou</w:t>
      </w:r>
      <w:r w:rsidRPr="00D71EBC">
        <w:t xml:space="preserve"> krijgen.</w:t>
      </w:r>
      <w:r>
        <w:t xml:space="preserve"> In deze brief stond onder het kopje “strengere vermogensnorm” aangegeven waarom er vanaf 2013 strengere normen worden toegepast. </w:t>
      </w:r>
    </w:p>
    <w:p w:rsidR="00EE1E1B" w:rsidRDefault="00EE1E1B" w:rsidP="001B6F2D"/>
    <w:p w:rsidR="00EE1E1B" w:rsidRDefault="00EE1E1B" w:rsidP="001B6F2D">
      <w:pPr>
        <w:rPr>
          <w:color w:val="222233"/>
        </w:rPr>
      </w:pPr>
      <w:r>
        <w:t>De c</w:t>
      </w:r>
      <w:r w:rsidRPr="0062293E">
        <w:t xml:space="preserve">ommissie </w:t>
      </w:r>
      <w:r>
        <w:t xml:space="preserve">vindt </w:t>
      </w:r>
      <w:r w:rsidRPr="0062293E">
        <w:t xml:space="preserve">dat </w:t>
      </w:r>
      <w:r>
        <w:t>de geme</w:t>
      </w:r>
      <w:r w:rsidRPr="009265C3">
        <w:t>ente niet</w:t>
      </w:r>
      <w:r>
        <w:t xml:space="preserve"> </w:t>
      </w:r>
      <w:r w:rsidRPr="009265C3">
        <w:t>goed aan</w:t>
      </w:r>
      <w:r>
        <w:t xml:space="preserve"> verzoekster uitlegde h</w:t>
      </w:r>
      <w:r w:rsidRPr="00C01E78">
        <w:t xml:space="preserve">oe </w:t>
      </w:r>
      <w:r>
        <w:t>zij haar</w:t>
      </w:r>
      <w:r w:rsidRPr="00C01E78">
        <w:t xml:space="preserve"> verzoek om </w:t>
      </w:r>
      <w:r w:rsidRPr="006F0E45">
        <w:t>kwijtschelding</w:t>
      </w:r>
      <w:r w:rsidRPr="00C01E78">
        <w:t xml:space="preserve"> </w:t>
      </w:r>
      <w:r w:rsidRPr="009265C3">
        <w:t>b</w:t>
      </w:r>
      <w:r>
        <w:t>eoordeelde</w:t>
      </w:r>
      <w:r w:rsidRPr="009265C3">
        <w:t>. Ook</w:t>
      </w:r>
      <w:r>
        <w:t xml:space="preserve"> legde de</w:t>
      </w:r>
      <w:r w:rsidRPr="009265C3">
        <w:t xml:space="preserve"> gemeente niet goed uit aan welke kwijtscheldingsnorm zij het verzoek van verzoeker toetste. </w:t>
      </w:r>
      <w:r w:rsidRPr="009265C3">
        <w:rPr>
          <w:color w:val="222233"/>
        </w:rPr>
        <w:t xml:space="preserve">De tekstblokken in de standaardbrief zijn lastig leesbaar en gaan niet specifiek in op </w:t>
      </w:r>
      <w:r>
        <w:rPr>
          <w:color w:val="222233"/>
        </w:rPr>
        <w:t xml:space="preserve">de situatie van verzoekster. </w:t>
      </w:r>
    </w:p>
    <w:p w:rsidR="00EE1E1B" w:rsidRDefault="00EE1E1B" w:rsidP="001B6F2D"/>
    <w:p w:rsidR="00EE1E1B" w:rsidRPr="009265C3" w:rsidRDefault="00EE1E1B" w:rsidP="001B6F2D">
      <w:r w:rsidRPr="009265C3">
        <w:t xml:space="preserve">De afwijzing van de </w:t>
      </w:r>
      <w:r w:rsidRPr="006F0E45">
        <w:t>kwijtschelding</w:t>
      </w:r>
      <w:r w:rsidRPr="009265C3">
        <w:t xml:space="preserve"> </w:t>
      </w:r>
      <w:r>
        <w:t xml:space="preserve">en het administratief beroep </w:t>
      </w:r>
      <w:r w:rsidRPr="009265C3">
        <w:t xml:space="preserve">heeft de gemeente </w:t>
      </w:r>
      <w:r>
        <w:t xml:space="preserve">op dit punt dan ook </w:t>
      </w:r>
      <w:r w:rsidRPr="009265C3">
        <w:t xml:space="preserve">onvoldoende </w:t>
      </w:r>
      <w:r w:rsidRPr="006F0E45">
        <w:t>gemotiveerd</w:t>
      </w:r>
      <w:r w:rsidRPr="009265C3">
        <w:t xml:space="preserve">, vindt de commissie. </w:t>
      </w:r>
      <w:r>
        <w:t>Dit geldt ook voor de klachtafdoeningsbrief. Ook in deze brief wordt geen uitleg gegeven over de voor verzoekster geldende kwijtscheldingsnorm.</w:t>
      </w:r>
    </w:p>
    <w:p w:rsidR="00EE1E1B" w:rsidRPr="009265C3" w:rsidRDefault="00EE1E1B" w:rsidP="001B6F2D"/>
    <w:p w:rsidR="00EE1E1B" w:rsidRPr="0062293E" w:rsidRDefault="00EE1E1B" w:rsidP="001B6F2D">
      <w:r w:rsidRPr="009265C3">
        <w:t>De gemeente heeft de gevraagde uitleg alsnog aan verzoekster gegeven. Dit is gebeurd na afloop va</w:t>
      </w:r>
      <w:r w:rsidRPr="0062293E">
        <w:t xml:space="preserve">n de hoorzitting bij de </w:t>
      </w:r>
      <w:r>
        <w:t>Ombuds</w:t>
      </w:r>
      <w:r w:rsidRPr="0062293E">
        <w:t>comm</w:t>
      </w:r>
      <w:r>
        <w:t xml:space="preserve">issie.  Hierdoor is voor verzoekster duidelijk geworden hoe de gemeente tot de afwijzing van de </w:t>
      </w:r>
      <w:r w:rsidRPr="006F0E45">
        <w:t>kwijtschelding</w:t>
      </w:r>
      <w:r>
        <w:t xml:space="preserve"> en het </w:t>
      </w:r>
      <w:r w:rsidRPr="006F0E45">
        <w:t>administratief</w:t>
      </w:r>
      <w:r>
        <w:t xml:space="preserve"> beroep is gekomen. Hiermee is naar het oordeel van de commissie, de stri</w:t>
      </w:r>
      <w:r w:rsidRPr="0062293E">
        <w:t xml:space="preserve">jdigheid met het vereiste van een goede </w:t>
      </w:r>
      <w:r w:rsidRPr="006F0E45">
        <w:t>motivering</w:t>
      </w:r>
      <w:r w:rsidRPr="0062293E">
        <w:t xml:space="preserve"> </w:t>
      </w:r>
      <w:r>
        <w:t xml:space="preserve">door de gemeente </w:t>
      </w:r>
      <w:r w:rsidRPr="0062293E">
        <w:t xml:space="preserve">gecorrigeerd. </w:t>
      </w:r>
    </w:p>
    <w:p w:rsidR="00EE1E1B" w:rsidRPr="0062293E" w:rsidRDefault="00EE1E1B" w:rsidP="001B6F2D"/>
    <w:p w:rsidR="00EE1E1B" w:rsidRPr="0062293E" w:rsidRDefault="00EE1E1B" w:rsidP="00B17724">
      <w:pPr>
        <w:rPr>
          <w:b/>
        </w:rPr>
      </w:pPr>
      <w:r>
        <w:rPr>
          <w:b/>
        </w:rPr>
        <w:t xml:space="preserve">Wat is ons </w:t>
      </w:r>
      <w:r w:rsidRPr="006F0E45">
        <w:rPr>
          <w:b/>
        </w:rPr>
        <w:t>eindoordeel</w:t>
      </w:r>
      <w:r>
        <w:rPr>
          <w:b/>
        </w:rPr>
        <w:t>?</w:t>
      </w:r>
    </w:p>
    <w:p w:rsidR="00EE1E1B" w:rsidRPr="006F0E45" w:rsidRDefault="00EE1E1B" w:rsidP="00B17724">
      <w:pPr>
        <w:rPr>
          <w:rFonts w:cs="Arial"/>
        </w:rPr>
      </w:pPr>
      <w:r w:rsidRPr="006F0E45">
        <w:rPr>
          <w:rFonts w:cs="Arial"/>
        </w:rPr>
        <w:t>Naar het oordeel van de commissie zijn de onderzochte gedragingen niet in strijd met het redelijkheidsvereiste.</w:t>
      </w:r>
      <w:r>
        <w:rPr>
          <w:rFonts w:cs="Arial"/>
        </w:rPr>
        <w:t xml:space="preserve"> </w:t>
      </w:r>
      <w:r w:rsidRPr="006F0E45">
        <w:rPr>
          <w:rFonts w:cs="Arial"/>
        </w:rPr>
        <w:t xml:space="preserve">De strijd met het vereiste van een goede motivering is gecorrigeerd. </w:t>
      </w:r>
    </w:p>
    <w:p w:rsidR="00EE1E1B" w:rsidRPr="006F0E45" w:rsidRDefault="00EE1E1B" w:rsidP="00B17724">
      <w:pPr>
        <w:rPr>
          <w:rFonts w:cs="Arial"/>
        </w:rPr>
      </w:pPr>
    </w:p>
    <w:p w:rsidR="00EE1E1B" w:rsidRPr="0062293E" w:rsidRDefault="00EE1E1B" w:rsidP="00B17724">
      <w:pPr>
        <w:rPr>
          <w:rFonts w:cs="Arial"/>
          <w:sz w:val="18"/>
          <w:szCs w:val="18"/>
        </w:rPr>
      </w:pPr>
      <w:r w:rsidRPr="0062293E">
        <w:t xml:space="preserve">De onderzochte gedragingen zijn </w:t>
      </w:r>
      <w:r>
        <w:t xml:space="preserve">niet onbehoorlijk. </w:t>
      </w:r>
    </w:p>
    <w:p w:rsidR="00EE1E1B" w:rsidRPr="0062293E" w:rsidRDefault="00EE1E1B" w:rsidP="004D5531"/>
    <w:p w:rsidR="00EE1E1B" w:rsidRPr="0062293E" w:rsidRDefault="00EE1E1B" w:rsidP="004D5531"/>
    <w:p w:rsidR="00EE1E1B" w:rsidRPr="0062293E" w:rsidRDefault="00A23078" w:rsidP="004D5531">
      <w:bookmarkStart w:id="0" w:name="_GoBack"/>
      <w:bookmarkEnd w:id="0"/>
      <w:r>
        <w:t>24</w:t>
      </w:r>
      <w:r w:rsidRPr="0062293E">
        <w:t xml:space="preserve"> </w:t>
      </w:r>
      <w:r w:rsidR="00EE1E1B" w:rsidRPr="0062293E">
        <w:t>september 2013</w:t>
      </w:r>
    </w:p>
    <w:p w:rsidR="00EE1E1B" w:rsidRPr="0062293E" w:rsidRDefault="00EE1E1B" w:rsidP="004D5531"/>
    <w:p w:rsidR="00EE1E1B" w:rsidRPr="0062293E" w:rsidRDefault="00EE1E1B" w:rsidP="004D5531"/>
    <w:p w:rsidR="00EE1E1B" w:rsidRPr="0062293E" w:rsidRDefault="00EE1E1B" w:rsidP="004D5531">
      <w:r w:rsidRPr="0062293E">
        <w:t>De Ombudscommissie gemeente ‘s-Hertogenbosch,</w:t>
      </w:r>
    </w:p>
    <w:p w:rsidR="00EE1E1B" w:rsidRDefault="00EE1E1B" w:rsidP="004D5531">
      <w:r w:rsidRPr="0062293E">
        <w:t>A.H.A. Lensen,  voorzitter</w:t>
      </w:r>
      <w:r w:rsidRPr="0062293E">
        <w:tab/>
      </w:r>
      <w:r w:rsidRPr="0062293E">
        <w:tab/>
      </w:r>
      <w:r w:rsidRPr="0062293E">
        <w:tab/>
      </w:r>
      <w:r w:rsidRPr="0062293E">
        <w:tab/>
      </w:r>
      <w:r w:rsidRPr="0062293E">
        <w:tab/>
        <w:t xml:space="preserve">Y. </w:t>
      </w:r>
      <w:r>
        <w:t>Nass, secretaris</w:t>
      </w:r>
    </w:p>
    <w:p w:rsidR="00EE1E1B" w:rsidRDefault="00EE1E1B" w:rsidP="004D5531"/>
    <w:p w:rsidR="00EE1E1B" w:rsidRDefault="00EE1E1B"/>
    <w:sectPr w:rsidR="00EE1E1B" w:rsidSect="00683A0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1B" w:rsidRDefault="00EE1E1B">
      <w:pPr>
        <w:spacing w:line="240" w:lineRule="auto"/>
      </w:pPr>
      <w:r>
        <w:separator/>
      </w:r>
    </w:p>
  </w:endnote>
  <w:endnote w:type="continuationSeparator" w:id="0">
    <w:p w:rsidR="00EE1E1B" w:rsidRDefault="00EE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1B" w:rsidRDefault="00EE1E1B"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1E1B" w:rsidRDefault="00EE1E1B" w:rsidP="00683A0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1B" w:rsidRDefault="00EE1E1B"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50A1">
      <w:rPr>
        <w:rStyle w:val="Paginanummer"/>
        <w:noProof/>
      </w:rPr>
      <w:t>4</w:t>
    </w:r>
    <w:r>
      <w:rPr>
        <w:rStyle w:val="Paginanummer"/>
      </w:rPr>
      <w:fldChar w:fldCharType="end"/>
    </w:r>
  </w:p>
  <w:p w:rsidR="00EE1E1B" w:rsidRDefault="00EE1E1B" w:rsidP="00683A0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1B" w:rsidRDefault="00EE1E1B">
      <w:pPr>
        <w:spacing w:line="240" w:lineRule="auto"/>
      </w:pPr>
      <w:r>
        <w:separator/>
      </w:r>
    </w:p>
  </w:footnote>
  <w:footnote w:type="continuationSeparator" w:id="0">
    <w:p w:rsidR="00EE1E1B" w:rsidRDefault="00EE1E1B">
      <w:pPr>
        <w:spacing w:line="240" w:lineRule="auto"/>
      </w:pPr>
      <w:r>
        <w:continuationSeparator/>
      </w:r>
    </w:p>
  </w:footnote>
  <w:footnote w:id="1">
    <w:p w:rsidR="00EE1E1B" w:rsidRDefault="00EE1E1B" w:rsidP="00DA4EFD">
      <w:pPr>
        <w:pStyle w:val="Voetnoottekst"/>
      </w:pPr>
      <w:r>
        <w:rPr>
          <w:rStyle w:val="Voetnootmarkering"/>
        </w:rPr>
        <w:footnoteRef/>
      </w:r>
      <w:r>
        <w:t xml:space="preserve"> </w:t>
      </w:r>
      <w:r w:rsidRPr="0089635A">
        <w:rPr>
          <w:i/>
          <w:sz w:val="16"/>
          <w:szCs w:val="16"/>
        </w:rPr>
        <w:t>Dit wordt ook wel de peildatum genoemd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85"/>
    <w:rsid w:val="000226D9"/>
    <w:rsid w:val="00035470"/>
    <w:rsid w:val="00072C2A"/>
    <w:rsid w:val="000A0EC0"/>
    <w:rsid w:val="000D487E"/>
    <w:rsid w:val="000D6A2F"/>
    <w:rsid w:val="000F773B"/>
    <w:rsid w:val="00100FB6"/>
    <w:rsid w:val="00112F56"/>
    <w:rsid w:val="00122719"/>
    <w:rsid w:val="0013184F"/>
    <w:rsid w:val="0015063E"/>
    <w:rsid w:val="0015514D"/>
    <w:rsid w:val="00161EBB"/>
    <w:rsid w:val="00167BB2"/>
    <w:rsid w:val="00195310"/>
    <w:rsid w:val="001A35CC"/>
    <w:rsid w:val="001B50A1"/>
    <w:rsid w:val="001B6707"/>
    <w:rsid w:val="001B6F2D"/>
    <w:rsid w:val="001E169C"/>
    <w:rsid w:val="0023266B"/>
    <w:rsid w:val="00284A0C"/>
    <w:rsid w:val="002B1FAB"/>
    <w:rsid w:val="002E6CEB"/>
    <w:rsid w:val="0031624C"/>
    <w:rsid w:val="003213AF"/>
    <w:rsid w:val="00355C94"/>
    <w:rsid w:val="00360B04"/>
    <w:rsid w:val="00366164"/>
    <w:rsid w:val="00371926"/>
    <w:rsid w:val="00374908"/>
    <w:rsid w:val="003831ED"/>
    <w:rsid w:val="003E160F"/>
    <w:rsid w:val="003F4844"/>
    <w:rsid w:val="004370CF"/>
    <w:rsid w:val="0044214F"/>
    <w:rsid w:val="004469FD"/>
    <w:rsid w:val="0048087E"/>
    <w:rsid w:val="0048298D"/>
    <w:rsid w:val="004C14E9"/>
    <w:rsid w:val="004D4AEC"/>
    <w:rsid w:val="004D5531"/>
    <w:rsid w:val="004E4EE8"/>
    <w:rsid w:val="00532896"/>
    <w:rsid w:val="0057432D"/>
    <w:rsid w:val="0059515C"/>
    <w:rsid w:val="00595190"/>
    <w:rsid w:val="005A7F57"/>
    <w:rsid w:val="005D5898"/>
    <w:rsid w:val="005E3A4F"/>
    <w:rsid w:val="0062293E"/>
    <w:rsid w:val="00625E6F"/>
    <w:rsid w:val="00652124"/>
    <w:rsid w:val="00671ED3"/>
    <w:rsid w:val="00683A01"/>
    <w:rsid w:val="006F0E45"/>
    <w:rsid w:val="00725D51"/>
    <w:rsid w:val="00727BD6"/>
    <w:rsid w:val="0074377C"/>
    <w:rsid w:val="0076078D"/>
    <w:rsid w:val="00784015"/>
    <w:rsid w:val="007872CF"/>
    <w:rsid w:val="00797111"/>
    <w:rsid w:val="007A1390"/>
    <w:rsid w:val="007B1ED2"/>
    <w:rsid w:val="007E2BDA"/>
    <w:rsid w:val="0080335A"/>
    <w:rsid w:val="00826407"/>
    <w:rsid w:val="00832A7B"/>
    <w:rsid w:val="00836EFD"/>
    <w:rsid w:val="008605EA"/>
    <w:rsid w:val="0089635A"/>
    <w:rsid w:val="008A6BAF"/>
    <w:rsid w:val="008D6675"/>
    <w:rsid w:val="008D78A4"/>
    <w:rsid w:val="008F36B2"/>
    <w:rsid w:val="00902069"/>
    <w:rsid w:val="009069B2"/>
    <w:rsid w:val="00915969"/>
    <w:rsid w:val="0092042A"/>
    <w:rsid w:val="00922753"/>
    <w:rsid w:val="009230C1"/>
    <w:rsid w:val="009235D0"/>
    <w:rsid w:val="009265C3"/>
    <w:rsid w:val="00941067"/>
    <w:rsid w:val="0095528F"/>
    <w:rsid w:val="009769E7"/>
    <w:rsid w:val="00996250"/>
    <w:rsid w:val="009A3DC5"/>
    <w:rsid w:val="009B4936"/>
    <w:rsid w:val="009B7710"/>
    <w:rsid w:val="009C47DE"/>
    <w:rsid w:val="009F01F2"/>
    <w:rsid w:val="00A07E44"/>
    <w:rsid w:val="00A23078"/>
    <w:rsid w:val="00A55A9A"/>
    <w:rsid w:val="00A67396"/>
    <w:rsid w:val="00A74766"/>
    <w:rsid w:val="00A83D79"/>
    <w:rsid w:val="00A8717E"/>
    <w:rsid w:val="00A91C7C"/>
    <w:rsid w:val="00AB5AA5"/>
    <w:rsid w:val="00AD4F8A"/>
    <w:rsid w:val="00AF0777"/>
    <w:rsid w:val="00B051B4"/>
    <w:rsid w:val="00B05514"/>
    <w:rsid w:val="00B17724"/>
    <w:rsid w:val="00B55E52"/>
    <w:rsid w:val="00BC0819"/>
    <w:rsid w:val="00BC350A"/>
    <w:rsid w:val="00BD37FD"/>
    <w:rsid w:val="00BE2257"/>
    <w:rsid w:val="00C01E78"/>
    <w:rsid w:val="00C4734C"/>
    <w:rsid w:val="00C518C2"/>
    <w:rsid w:val="00C66455"/>
    <w:rsid w:val="00C700D5"/>
    <w:rsid w:val="00C8338D"/>
    <w:rsid w:val="00CF340D"/>
    <w:rsid w:val="00D71EBC"/>
    <w:rsid w:val="00DA4EFD"/>
    <w:rsid w:val="00DD249B"/>
    <w:rsid w:val="00DE5AA7"/>
    <w:rsid w:val="00DF5D92"/>
    <w:rsid w:val="00DF65D1"/>
    <w:rsid w:val="00E14903"/>
    <w:rsid w:val="00E22FB5"/>
    <w:rsid w:val="00E3395E"/>
    <w:rsid w:val="00E7303B"/>
    <w:rsid w:val="00E75090"/>
    <w:rsid w:val="00E95F0A"/>
    <w:rsid w:val="00EE1E1B"/>
    <w:rsid w:val="00EE4185"/>
    <w:rsid w:val="00F00972"/>
    <w:rsid w:val="00F1203A"/>
    <w:rsid w:val="00F17197"/>
    <w:rsid w:val="00F31172"/>
    <w:rsid w:val="00F33BE9"/>
    <w:rsid w:val="00F91834"/>
    <w:rsid w:val="00FB7165"/>
    <w:rsid w:val="00FC011A"/>
    <w:rsid w:val="00FD09CF"/>
    <w:rsid w:val="00FE1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21402">
      <w:marLeft w:val="0"/>
      <w:marRight w:val="0"/>
      <w:marTop w:val="0"/>
      <w:marBottom w:val="0"/>
      <w:divBdr>
        <w:top w:val="none" w:sz="0" w:space="0" w:color="auto"/>
        <w:left w:val="none" w:sz="0" w:space="0" w:color="auto"/>
        <w:bottom w:val="none" w:sz="0" w:space="0" w:color="auto"/>
        <w:right w:val="none" w:sz="0" w:space="0" w:color="auto"/>
      </w:divBdr>
    </w:div>
    <w:div w:id="1496921403">
      <w:marLeft w:val="0"/>
      <w:marRight w:val="0"/>
      <w:marTop w:val="0"/>
      <w:marBottom w:val="0"/>
      <w:divBdr>
        <w:top w:val="none" w:sz="0" w:space="0" w:color="auto"/>
        <w:left w:val="none" w:sz="0" w:space="0" w:color="auto"/>
        <w:bottom w:val="none" w:sz="0" w:space="0" w:color="auto"/>
        <w:right w:val="none" w:sz="0" w:space="0" w:color="auto"/>
      </w:divBdr>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496921405">
          <w:marLeft w:val="0"/>
          <w:marRight w:val="0"/>
          <w:marTop w:val="0"/>
          <w:marBottom w:val="0"/>
          <w:divBdr>
            <w:top w:val="none" w:sz="0" w:space="0" w:color="auto"/>
            <w:left w:val="none" w:sz="0" w:space="0" w:color="auto"/>
            <w:bottom w:val="none" w:sz="0" w:space="0" w:color="auto"/>
            <w:right w:val="none" w:sz="0" w:space="0" w:color="auto"/>
          </w:divBdr>
          <w:divsChild>
            <w:div w:id="1496921407">
              <w:marLeft w:val="0"/>
              <w:marRight w:val="0"/>
              <w:marTop w:val="0"/>
              <w:marBottom w:val="0"/>
              <w:divBdr>
                <w:top w:val="none" w:sz="0" w:space="0" w:color="auto"/>
                <w:left w:val="none" w:sz="0" w:space="0" w:color="auto"/>
                <w:bottom w:val="none" w:sz="0" w:space="0" w:color="auto"/>
                <w:right w:val="none" w:sz="0" w:space="0" w:color="auto"/>
              </w:divBdr>
              <w:divsChild>
                <w:div w:id="1496921406">
                  <w:marLeft w:val="0"/>
                  <w:marRight w:val="0"/>
                  <w:marTop w:val="0"/>
                  <w:marBottom w:val="0"/>
                  <w:divBdr>
                    <w:top w:val="none" w:sz="0" w:space="0" w:color="auto"/>
                    <w:left w:val="none" w:sz="0" w:space="0" w:color="auto"/>
                    <w:bottom w:val="none" w:sz="0" w:space="0" w:color="auto"/>
                    <w:right w:val="none" w:sz="0" w:space="0" w:color="auto"/>
                  </w:divBdr>
                  <w:divsChild>
                    <w:div w:id="1496921404">
                      <w:marLeft w:val="0"/>
                      <w:marRight w:val="0"/>
                      <w:marTop w:val="0"/>
                      <w:marBottom w:val="750"/>
                      <w:divBdr>
                        <w:top w:val="none" w:sz="0" w:space="0" w:color="auto"/>
                        <w:left w:val="none" w:sz="0" w:space="0" w:color="auto"/>
                        <w:bottom w:val="none" w:sz="0" w:space="0" w:color="auto"/>
                        <w:right w:val="none" w:sz="0" w:space="0" w:color="auto"/>
                      </w:divBdr>
                      <w:divsChild>
                        <w:div w:id="1496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21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9863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2</cp:revision>
  <cp:lastPrinted>2013-09-18T13:40:00Z</cp:lastPrinted>
  <dcterms:created xsi:type="dcterms:W3CDTF">2013-10-08T07:32:00Z</dcterms:created>
  <dcterms:modified xsi:type="dcterms:W3CDTF">2013-10-08T07:32:00Z</dcterms:modified>
</cp:coreProperties>
</file>